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9DD" w:rsidRDefault="006362DF" w:rsidP="006019DD">
      <w:pPr>
        <w:tabs>
          <w:tab w:val="left" w:pos="720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47875" cy="889000"/>
            <wp:effectExtent l="0" t="0" r="9525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G-Firm-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9DD">
        <w:t xml:space="preserve"> </w:t>
      </w:r>
    </w:p>
    <w:p w:rsidR="006019DD" w:rsidRPr="006362DF" w:rsidRDefault="006019DD" w:rsidP="006019DD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377F">
        <w:rPr>
          <w:i/>
          <w:sz w:val="20"/>
          <w:szCs w:val="20"/>
        </w:rPr>
        <w:tab/>
      </w:r>
      <w:r w:rsidRPr="006362DF">
        <w:rPr>
          <w:rFonts w:ascii="Arial" w:hAnsi="Arial" w:cs="Arial"/>
          <w:b/>
          <w:sz w:val="20"/>
          <w:szCs w:val="20"/>
        </w:rPr>
        <w:t>The Firm Business Brokerage</w:t>
      </w:r>
    </w:p>
    <w:p w:rsidR="006019DD" w:rsidRPr="006362DF" w:rsidRDefault="006019DD" w:rsidP="006019DD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362DF">
        <w:rPr>
          <w:rFonts w:ascii="Arial" w:hAnsi="Arial" w:cs="Arial"/>
          <w:sz w:val="20"/>
          <w:szCs w:val="20"/>
        </w:rPr>
        <w:tab/>
        <w:t>Cortney Sells, President</w:t>
      </w:r>
    </w:p>
    <w:p w:rsidR="006019DD" w:rsidRPr="006362DF" w:rsidRDefault="006019DD" w:rsidP="006019DD">
      <w:pPr>
        <w:tabs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362DF">
        <w:rPr>
          <w:rFonts w:ascii="Arial" w:hAnsi="Arial" w:cs="Arial"/>
          <w:sz w:val="20"/>
          <w:szCs w:val="20"/>
        </w:rPr>
        <w:tab/>
        <w:t>Phone: 402.998.5288</w:t>
      </w:r>
    </w:p>
    <w:p w:rsidR="006019DD" w:rsidRPr="006362DF" w:rsidRDefault="006019DD" w:rsidP="00A8394F">
      <w:pPr>
        <w:tabs>
          <w:tab w:val="left" w:pos="7920"/>
        </w:tabs>
        <w:spacing w:after="0" w:line="240" w:lineRule="auto"/>
        <w:rPr>
          <w:rFonts w:ascii="Arial" w:hAnsi="Arial" w:cs="Arial"/>
          <w:color w:val="55274E"/>
          <w:sz w:val="20"/>
          <w:szCs w:val="20"/>
          <w:u w:val="single"/>
        </w:rPr>
      </w:pPr>
      <w:r w:rsidRPr="006362DF">
        <w:rPr>
          <w:rFonts w:ascii="Arial" w:hAnsi="Arial" w:cs="Arial"/>
          <w:sz w:val="20"/>
          <w:szCs w:val="20"/>
        </w:rPr>
        <w:tab/>
      </w:r>
      <w:hyperlink r:id="rId6" w:history="1">
        <w:r w:rsidRPr="006362DF">
          <w:rPr>
            <w:rFonts w:ascii="Arial" w:hAnsi="Arial" w:cs="Arial"/>
            <w:color w:val="55274E"/>
            <w:sz w:val="20"/>
            <w:szCs w:val="20"/>
            <w:u w:val="single"/>
          </w:rPr>
          <w:t>Confidential@TheFirmB2B.com</w:t>
        </w:r>
      </w:hyperlink>
    </w:p>
    <w:p w:rsidR="003C763B" w:rsidRPr="006362DF" w:rsidRDefault="00E5377F" w:rsidP="00A8394F">
      <w:pPr>
        <w:tabs>
          <w:tab w:val="left" w:pos="792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62DF">
        <w:rPr>
          <w:rFonts w:ascii="Arial" w:hAnsi="Arial" w:cs="Arial"/>
          <w:sz w:val="20"/>
          <w:szCs w:val="20"/>
        </w:rPr>
        <w:tab/>
      </w:r>
      <w:r w:rsidRPr="006362DF">
        <w:rPr>
          <w:rFonts w:ascii="Arial" w:hAnsi="Arial" w:cs="Arial"/>
          <w:b/>
          <w:sz w:val="20"/>
          <w:szCs w:val="20"/>
        </w:rPr>
        <w:t xml:space="preserve">ID#: </w:t>
      </w:r>
      <w:r w:rsidR="00456B79">
        <w:rPr>
          <w:rFonts w:ascii="Arial" w:hAnsi="Arial" w:cs="Arial"/>
          <w:b/>
          <w:color w:val="55274E"/>
          <w:sz w:val="20"/>
          <w:szCs w:val="20"/>
        </w:rPr>
        <w:t>RET043</w:t>
      </w:r>
    </w:p>
    <w:p w:rsidR="003C763B" w:rsidRDefault="00F802A2" w:rsidP="00A8394F">
      <w:pPr>
        <w:tabs>
          <w:tab w:val="left" w:pos="792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pict>
          <v:rect id="_x0000_i1025" style="width:540pt;height:1pt" o:hralign="center" o:hrstd="t" o:hrnoshade="t" o:hr="t" fillcolor="#55274e" stroked="f"/>
        </w:pict>
      </w:r>
    </w:p>
    <w:p w:rsidR="003C763B" w:rsidRPr="009E34FE" w:rsidRDefault="003C763B" w:rsidP="00A8394F">
      <w:pPr>
        <w:tabs>
          <w:tab w:val="left" w:pos="7920"/>
        </w:tabs>
        <w:spacing w:after="0" w:line="240" w:lineRule="auto"/>
        <w:rPr>
          <w:b/>
          <w:sz w:val="4"/>
          <w:szCs w:val="20"/>
        </w:rPr>
      </w:pPr>
    </w:p>
    <w:p w:rsidR="006019DD" w:rsidRPr="00B913E8" w:rsidRDefault="00B913E8" w:rsidP="00E5377F">
      <w:pPr>
        <w:tabs>
          <w:tab w:val="left" w:pos="7920"/>
        </w:tabs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B913E8">
        <w:rPr>
          <w:rFonts w:ascii="Arial" w:hAnsi="Arial" w:cs="Arial"/>
          <w:b/>
          <w:color w:val="55274E"/>
          <w:sz w:val="36"/>
          <w:szCs w:val="36"/>
        </w:rPr>
        <w:t xml:space="preserve">FOR SALE: </w:t>
      </w:r>
      <w:r w:rsidRPr="00B913E8">
        <w:rPr>
          <w:rFonts w:ascii="Arial" w:hAnsi="Arial" w:cs="Arial"/>
          <w:b/>
          <w:sz w:val="36"/>
          <w:szCs w:val="36"/>
        </w:rPr>
        <w:t xml:space="preserve">Multi-Location </w:t>
      </w:r>
      <w:r w:rsidR="008C7620" w:rsidRPr="00B913E8">
        <w:rPr>
          <w:rFonts w:ascii="Arial" w:hAnsi="Arial" w:cs="Arial"/>
          <w:b/>
          <w:sz w:val="36"/>
          <w:szCs w:val="36"/>
        </w:rPr>
        <w:t>Custom and Gourmet Treats &amp; Gifts</w:t>
      </w:r>
    </w:p>
    <w:p w:rsidR="00772E20" w:rsidRPr="007D7C70" w:rsidRDefault="008C7620" w:rsidP="00E5377F">
      <w:pPr>
        <w:tabs>
          <w:tab w:val="left" w:pos="7920"/>
        </w:tabs>
        <w:spacing w:after="0" w:line="240" w:lineRule="auto"/>
        <w:jc w:val="center"/>
        <w:rPr>
          <w:rFonts w:ascii="Arial" w:hAnsi="Arial" w:cs="Arial"/>
          <w:b/>
          <w:sz w:val="40"/>
          <w:szCs w:val="20"/>
        </w:rPr>
      </w:pPr>
      <w:r>
        <w:rPr>
          <w:rFonts w:ascii="Arial" w:hAnsi="Arial" w:cs="Arial"/>
          <w:i/>
          <w:color w:val="595959" w:themeColor="text1" w:themeTint="A6"/>
          <w:sz w:val="28"/>
          <w:szCs w:val="20"/>
        </w:rPr>
        <w:t>Four great locations in the Omaha Metro</w:t>
      </w:r>
      <w:r w:rsidR="00B54D0C">
        <w:rPr>
          <w:rFonts w:ascii="Arial" w:hAnsi="Arial" w:cs="Arial"/>
          <w:i/>
          <w:color w:val="595959" w:themeColor="text1" w:themeTint="A6"/>
          <w:sz w:val="28"/>
          <w:szCs w:val="20"/>
        </w:rPr>
        <w:t xml:space="preserve"> and Lincoln</w:t>
      </w:r>
      <w:r>
        <w:rPr>
          <w:rFonts w:ascii="Arial" w:hAnsi="Arial" w:cs="Arial"/>
          <w:i/>
          <w:color w:val="595959" w:themeColor="text1" w:themeTint="A6"/>
          <w:sz w:val="28"/>
          <w:szCs w:val="20"/>
        </w:rPr>
        <w:t>!</w:t>
      </w:r>
    </w:p>
    <w:p w:rsidR="00A8394F" w:rsidRPr="003E7C8A" w:rsidRDefault="00A8394F" w:rsidP="00A8394F">
      <w:pPr>
        <w:tabs>
          <w:tab w:val="left" w:pos="7920"/>
        </w:tabs>
        <w:spacing w:after="0" w:line="240" w:lineRule="auto"/>
        <w:rPr>
          <w:b/>
          <w:sz w:val="18"/>
          <w:szCs w:val="20"/>
        </w:rPr>
      </w:pP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82"/>
        <w:gridCol w:w="726"/>
        <w:gridCol w:w="5082"/>
      </w:tblGrid>
      <w:tr w:rsidR="001574A5" w:rsidTr="000B1C12">
        <w:trPr>
          <w:trHeight w:hRule="exact" w:val="3861"/>
        </w:trPr>
        <w:tc>
          <w:tcPr>
            <w:tcW w:w="5040" w:type="dxa"/>
          </w:tcPr>
          <w:p w:rsidR="001574A5" w:rsidRPr="00B05726" w:rsidRDefault="001574A5" w:rsidP="001574A5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Financial Overview</w:t>
            </w:r>
            <w:r w:rsidRPr="00B05726">
              <w:rPr>
                <w:rFonts w:ascii="Arial" w:hAnsi="Arial" w:cs="Arial"/>
                <w:color w:val="4A7B29" w:themeColor="accent2" w:themeShade="BF"/>
                <w:szCs w:val="20"/>
                <w:u w:val="single" w:color="55274E"/>
              </w:rPr>
              <w:tab/>
            </w:r>
          </w:p>
          <w:p w:rsidR="00F4497D" w:rsidRPr="006362DF" w:rsidRDefault="00F4497D" w:rsidP="00F4497D">
            <w:pPr>
              <w:tabs>
                <w:tab w:val="right" w:pos="3600"/>
                <w:tab w:val="left" w:pos="7920"/>
              </w:tabs>
              <w:spacing w:before="60" w:after="60"/>
              <w:ind w:firstLine="187"/>
              <w:rPr>
                <w:rFonts w:ascii="Arial" w:hAnsi="Arial" w:cs="Arial"/>
                <w:b/>
                <w:szCs w:val="20"/>
              </w:rPr>
            </w:pPr>
            <w:r w:rsidRPr="006362DF">
              <w:rPr>
                <w:rFonts w:ascii="Arial" w:hAnsi="Arial" w:cs="Arial"/>
                <w:b/>
                <w:szCs w:val="20"/>
              </w:rPr>
              <w:t>List Price:</w:t>
            </w:r>
            <w:r w:rsidRPr="006362DF">
              <w:rPr>
                <w:rFonts w:ascii="Arial" w:hAnsi="Arial" w:cs="Arial"/>
                <w:b/>
                <w:szCs w:val="20"/>
              </w:rPr>
              <w:tab/>
              <w:t>$</w:t>
            </w:r>
            <w:r w:rsidR="000B1C12">
              <w:rPr>
                <w:rFonts w:ascii="Arial" w:hAnsi="Arial" w:cs="Arial"/>
                <w:b/>
                <w:szCs w:val="20"/>
              </w:rPr>
              <w:t>610</w:t>
            </w:r>
            <w:r w:rsidR="00D37FAC">
              <w:rPr>
                <w:rFonts w:ascii="Arial" w:hAnsi="Arial" w:cs="Arial"/>
                <w:b/>
                <w:szCs w:val="20"/>
              </w:rPr>
              <w:t>,000</w:t>
            </w:r>
          </w:p>
          <w:p w:rsidR="001574A5" w:rsidRPr="006362DF" w:rsidRDefault="001574A5" w:rsidP="00786085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 xml:space="preserve">Gross Sales </w:t>
            </w:r>
          </w:p>
          <w:p w:rsidR="00B05726" w:rsidRDefault="00FF7534" w:rsidP="00786085">
            <w:pPr>
              <w:tabs>
                <w:tab w:val="left" w:pos="7920"/>
              </w:tabs>
              <w:ind w:left="54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2017</w:t>
            </w:r>
            <w:r w:rsidR="00B05726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456B79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1,542,150</w:t>
            </w:r>
          </w:p>
          <w:p w:rsidR="00FF7534" w:rsidRDefault="00FF7534" w:rsidP="00FF7534">
            <w:pPr>
              <w:tabs>
                <w:tab w:val="left" w:pos="7920"/>
              </w:tabs>
              <w:ind w:left="54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2016: </w:t>
            </w:r>
            <w:r>
              <w:rPr>
                <w:rFonts w:ascii="Arial" w:hAnsi="Arial" w:cs="Arial"/>
                <w:sz w:val="20"/>
                <w:szCs w:val="20"/>
              </w:rPr>
              <w:t>$1,601,196</w:t>
            </w:r>
          </w:p>
          <w:p w:rsidR="00FF7534" w:rsidRPr="006362DF" w:rsidRDefault="00FF7534" w:rsidP="00FF7534">
            <w:pPr>
              <w:tabs>
                <w:tab w:val="left" w:pos="7920"/>
              </w:tabs>
              <w:ind w:left="54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2015: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$1,597,504</w:t>
            </w:r>
          </w:p>
          <w:p w:rsidR="001574A5" w:rsidRPr="006362DF" w:rsidRDefault="001574A5" w:rsidP="00786085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Owner Profit/Cash Flow</w:t>
            </w:r>
          </w:p>
          <w:p w:rsidR="001574A5" w:rsidRPr="006362DF" w:rsidRDefault="00B05726" w:rsidP="00786085">
            <w:pPr>
              <w:tabs>
                <w:tab w:val="left" w:pos="7920"/>
              </w:tabs>
              <w:ind w:left="540" w:hanging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FF7534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574A5" w:rsidRPr="00636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574A5"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B79">
              <w:rPr>
                <w:rFonts w:ascii="Arial" w:hAnsi="Arial" w:cs="Arial"/>
                <w:sz w:val="20"/>
                <w:szCs w:val="20"/>
              </w:rPr>
              <w:t>$</w:t>
            </w:r>
            <w:r w:rsidR="004B48A4">
              <w:rPr>
                <w:rFonts w:ascii="Arial" w:hAnsi="Arial" w:cs="Arial"/>
                <w:sz w:val="20"/>
                <w:szCs w:val="20"/>
              </w:rPr>
              <w:t>201,011</w:t>
            </w:r>
          </w:p>
          <w:p w:rsidR="001574A5" w:rsidRDefault="001574A5" w:rsidP="00786085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Profit Margin: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8A4">
              <w:rPr>
                <w:rFonts w:ascii="Arial" w:hAnsi="Arial" w:cs="Arial"/>
                <w:sz w:val="20"/>
                <w:szCs w:val="20"/>
              </w:rPr>
              <w:t>13</w:t>
            </w:r>
            <w:r w:rsidR="007807D0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D544C0" w:rsidRPr="006362DF" w:rsidRDefault="00D544C0" w:rsidP="00786085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Multiple:</w:t>
            </w:r>
            <w:r w:rsidR="00722D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02A2">
              <w:rPr>
                <w:rFonts w:ascii="Arial" w:hAnsi="Arial" w:cs="Arial"/>
                <w:sz w:val="20"/>
                <w:szCs w:val="20"/>
              </w:rPr>
              <w:t>3.05</w:t>
            </w:r>
            <w:bookmarkStart w:id="0" w:name="_GoBack"/>
            <w:bookmarkEnd w:id="0"/>
          </w:p>
          <w:p w:rsidR="00D544C0" w:rsidRPr="006362DF" w:rsidRDefault="00D544C0" w:rsidP="00D544C0">
            <w:pPr>
              <w:tabs>
                <w:tab w:val="left" w:pos="1350"/>
                <w:tab w:val="left" w:pos="2520"/>
                <w:tab w:val="left" w:pos="2790"/>
                <w:tab w:val="left" w:pos="3600"/>
                <w:tab w:val="center" w:pos="4410"/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Valuation:</w:t>
            </w:r>
            <w:r w:rsidR="000B1C12">
              <w:rPr>
                <w:rFonts w:ascii="Arial" w:hAnsi="Arial" w:cs="Arial"/>
                <w:sz w:val="16"/>
                <w:szCs w:val="20"/>
              </w:rPr>
              <w:t xml:space="preserve"> 2017</w:t>
            </w:r>
            <w:r w:rsidRPr="007D7C70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Pr="007D7C70">
              <w:rPr>
                <w:rFonts w:ascii="Arial" w:hAnsi="Arial" w:cs="Arial"/>
                <w:sz w:val="16"/>
                <w:szCs w:val="20"/>
              </w:rPr>
              <w:t>Cash Flow</w:t>
            </w:r>
            <w:r w:rsidRPr="007D7C70">
              <w:rPr>
                <w:rFonts w:ascii="Arial" w:hAnsi="Arial" w:cs="Arial"/>
                <w:sz w:val="16"/>
                <w:szCs w:val="20"/>
              </w:rPr>
              <w:tab/>
              <w:t>x</w:t>
            </w:r>
            <w:r w:rsidRPr="007D7C70">
              <w:rPr>
                <w:rFonts w:ascii="Arial" w:hAnsi="Arial" w:cs="Arial"/>
                <w:sz w:val="16"/>
                <w:szCs w:val="20"/>
              </w:rPr>
              <w:tab/>
              <w:t>Multiple</w:t>
            </w:r>
            <w:r w:rsidRPr="007D7C70">
              <w:rPr>
                <w:rFonts w:ascii="Arial" w:hAnsi="Arial" w:cs="Arial"/>
                <w:sz w:val="16"/>
                <w:szCs w:val="20"/>
              </w:rPr>
              <w:tab/>
              <w:t>=</w:t>
            </w:r>
            <w:r w:rsidRPr="007D7C70">
              <w:rPr>
                <w:rFonts w:ascii="Arial" w:hAnsi="Arial" w:cs="Arial"/>
                <w:sz w:val="16"/>
                <w:szCs w:val="20"/>
              </w:rPr>
              <w:tab/>
              <w:t>Price</w:t>
            </w:r>
          </w:p>
          <w:p w:rsidR="00D544C0" w:rsidRPr="006362DF" w:rsidRDefault="004B48A4" w:rsidP="00D544C0">
            <w:pPr>
              <w:tabs>
                <w:tab w:val="center" w:pos="1710"/>
                <w:tab w:val="left" w:pos="2520"/>
                <w:tab w:val="left" w:pos="2790"/>
                <w:tab w:val="center" w:pos="3150"/>
                <w:tab w:val="left" w:pos="3600"/>
                <w:tab w:val="left" w:pos="3960"/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$201,011</w:t>
            </w:r>
            <w:r w:rsidR="00D544C0" w:rsidRPr="006362DF">
              <w:rPr>
                <w:rFonts w:ascii="Arial" w:hAnsi="Arial" w:cs="Arial"/>
                <w:sz w:val="20"/>
                <w:szCs w:val="20"/>
              </w:rPr>
              <w:tab/>
              <w:t>x</w:t>
            </w:r>
            <w:r w:rsidR="00D544C0" w:rsidRPr="006362D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3.05</w:t>
            </w:r>
            <w:r w:rsid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4C0" w:rsidRPr="006362DF">
              <w:rPr>
                <w:rFonts w:ascii="Arial" w:hAnsi="Arial" w:cs="Arial"/>
                <w:sz w:val="20"/>
                <w:szCs w:val="20"/>
              </w:rPr>
              <w:tab/>
              <w:t>=</w:t>
            </w:r>
            <w:r w:rsidR="00D544C0" w:rsidRPr="006362DF">
              <w:rPr>
                <w:rFonts w:ascii="Arial" w:hAnsi="Arial" w:cs="Arial"/>
                <w:sz w:val="20"/>
                <w:szCs w:val="20"/>
              </w:rPr>
              <w:tab/>
              <w:t>$</w:t>
            </w:r>
            <w:r>
              <w:rPr>
                <w:rFonts w:ascii="Arial" w:hAnsi="Arial" w:cs="Arial"/>
                <w:sz w:val="20"/>
                <w:szCs w:val="20"/>
              </w:rPr>
              <w:t>613,084</w:t>
            </w:r>
          </w:p>
          <w:p w:rsidR="001574A5" w:rsidRPr="00CC5683" w:rsidRDefault="001574A5" w:rsidP="00786085">
            <w:pPr>
              <w:tabs>
                <w:tab w:val="left" w:pos="7920"/>
              </w:tabs>
              <w:spacing w:before="60"/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  <w:tc>
          <w:tcPr>
            <w:tcW w:w="5040" w:type="dxa"/>
            <w:vMerge w:val="restart"/>
          </w:tcPr>
          <w:p w:rsidR="001574A5" w:rsidRPr="00B05726" w:rsidRDefault="001574A5" w:rsidP="006362DF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Funding Example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1574A5" w:rsidRPr="006362DF" w:rsidRDefault="001574A5" w:rsidP="00786085">
            <w:pPr>
              <w:tabs>
                <w:tab w:val="right" w:pos="3912"/>
                <w:tab w:val="left" w:pos="7920"/>
              </w:tabs>
              <w:spacing w:before="60" w:after="60"/>
              <w:ind w:firstLine="187"/>
              <w:rPr>
                <w:rFonts w:ascii="Arial" w:hAnsi="Arial" w:cs="Arial"/>
                <w:b/>
                <w:szCs w:val="20"/>
              </w:rPr>
            </w:pPr>
            <w:r w:rsidRPr="006362DF">
              <w:rPr>
                <w:rFonts w:ascii="Arial" w:hAnsi="Arial" w:cs="Arial"/>
                <w:b/>
                <w:szCs w:val="20"/>
              </w:rPr>
              <w:t>Purchase Price:</w:t>
            </w:r>
            <w:r w:rsidRPr="006362DF">
              <w:rPr>
                <w:rFonts w:ascii="Arial" w:hAnsi="Arial" w:cs="Arial"/>
                <w:b/>
                <w:szCs w:val="20"/>
              </w:rPr>
              <w:tab/>
              <w:t>$</w:t>
            </w:r>
            <w:r w:rsidR="008C7620">
              <w:rPr>
                <w:rFonts w:ascii="Arial" w:hAnsi="Arial" w:cs="Arial"/>
                <w:b/>
                <w:szCs w:val="20"/>
              </w:rPr>
              <w:t>610</w:t>
            </w:r>
            <w:r w:rsidR="00D37FAC">
              <w:rPr>
                <w:rFonts w:ascii="Arial" w:hAnsi="Arial" w:cs="Arial"/>
                <w:b/>
                <w:szCs w:val="20"/>
              </w:rPr>
              <w:t>,000</w:t>
            </w:r>
          </w:p>
          <w:p w:rsidR="001574A5" w:rsidRPr="006362DF" w:rsidRDefault="006C135B" w:rsidP="00786085">
            <w:pPr>
              <w:tabs>
                <w:tab w:val="right" w:pos="3912"/>
                <w:tab w:val="left" w:pos="7920"/>
              </w:tabs>
              <w:ind w:firstLine="36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10</w:t>
            </w:r>
            <w:r w:rsidR="00786085" w:rsidRPr="006362DF">
              <w:rPr>
                <w:rFonts w:ascii="Arial" w:hAnsi="Arial" w:cs="Arial"/>
                <w:i/>
                <w:szCs w:val="20"/>
              </w:rPr>
              <w:t>%</w:t>
            </w:r>
            <w:r w:rsidR="00786085" w:rsidRPr="006362DF">
              <w:rPr>
                <w:rFonts w:ascii="Arial" w:hAnsi="Arial" w:cs="Arial"/>
                <w:b/>
                <w:szCs w:val="20"/>
              </w:rPr>
              <w:t xml:space="preserve"> </w:t>
            </w:r>
            <w:r w:rsidR="001574A5" w:rsidRPr="006C135B">
              <w:rPr>
                <w:rFonts w:ascii="Arial" w:hAnsi="Arial" w:cs="Arial"/>
                <w:b/>
                <w:sz w:val="20"/>
                <w:szCs w:val="20"/>
              </w:rPr>
              <w:t>Buyer Down Payment:</w:t>
            </w:r>
            <w:r w:rsidR="001574A5" w:rsidRPr="006362DF">
              <w:rPr>
                <w:rFonts w:ascii="Arial" w:hAnsi="Arial" w:cs="Arial"/>
                <w:b/>
                <w:szCs w:val="20"/>
              </w:rPr>
              <w:tab/>
            </w:r>
            <w:r w:rsidR="001574A5" w:rsidRPr="006362DF">
              <w:rPr>
                <w:rFonts w:ascii="Arial" w:hAnsi="Arial" w:cs="Arial"/>
                <w:szCs w:val="20"/>
              </w:rPr>
              <w:t>$</w:t>
            </w:r>
            <w:r w:rsidR="00022EAD">
              <w:rPr>
                <w:rFonts w:ascii="Arial" w:hAnsi="Arial" w:cs="Arial"/>
                <w:szCs w:val="20"/>
              </w:rPr>
              <w:t>61,000</w:t>
            </w:r>
          </w:p>
          <w:p w:rsidR="001574A5" w:rsidRPr="006362DF" w:rsidRDefault="006C135B" w:rsidP="00786085">
            <w:pPr>
              <w:tabs>
                <w:tab w:val="right" w:pos="3912"/>
                <w:tab w:val="left" w:pos="7920"/>
              </w:tabs>
              <w:ind w:firstLine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10</w:t>
            </w:r>
            <w:r w:rsidR="00786085" w:rsidRPr="006362DF">
              <w:rPr>
                <w:rFonts w:ascii="Arial" w:hAnsi="Arial" w:cs="Arial"/>
                <w:i/>
                <w:szCs w:val="20"/>
              </w:rPr>
              <w:t>%</w:t>
            </w:r>
            <w:r w:rsidR="00786085" w:rsidRPr="006362DF">
              <w:rPr>
                <w:rFonts w:ascii="Arial" w:hAnsi="Arial" w:cs="Arial"/>
                <w:b/>
                <w:szCs w:val="20"/>
              </w:rPr>
              <w:t xml:space="preserve"> </w:t>
            </w:r>
            <w:r w:rsidR="001574A5" w:rsidRPr="006362DF">
              <w:rPr>
                <w:rFonts w:ascii="Arial" w:hAnsi="Arial" w:cs="Arial"/>
                <w:b/>
                <w:szCs w:val="20"/>
              </w:rPr>
              <w:t>Seller Financing:</w:t>
            </w:r>
            <w:r w:rsidR="001574A5" w:rsidRPr="006362DF">
              <w:rPr>
                <w:rFonts w:ascii="Arial" w:hAnsi="Arial" w:cs="Arial"/>
                <w:szCs w:val="20"/>
              </w:rPr>
              <w:tab/>
              <w:t>$</w:t>
            </w:r>
            <w:r w:rsidR="00022EAD">
              <w:rPr>
                <w:rFonts w:ascii="Arial" w:hAnsi="Arial" w:cs="Arial"/>
                <w:szCs w:val="20"/>
              </w:rPr>
              <w:t>61,000</w:t>
            </w:r>
          </w:p>
          <w:p w:rsidR="001574A5" w:rsidRPr="006362DF" w:rsidRDefault="006C135B" w:rsidP="00786085">
            <w:pPr>
              <w:tabs>
                <w:tab w:val="right" w:pos="3912"/>
                <w:tab w:val="left" w:pos="7920"/>
              </w:tabs>
              <w:ind w:firstLine="36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80</w:t>
            </w:r>
            <w:r w:rsidR="00786085" w:rsidRPr="006362DF">
              <w:rPr>
                <w:rFonts w:ascii="Arial" w:hAnsi="Arial" w:cs="Arial"/>
                <w:i/>
                <w:szCs w:val="20"/>
              </w:rPr>
              <w:t>%</w:t>
            </w:r>
            <w:r w:rsidR="00786085" w:rsidRPr="006362DF">
              <w:rPr>
                <w:rFonts w:ascii="Arial" w:hAnsi="Arial" w:cs="Arial"/>
                <w:b/>
                <w:szCs w:val="20"/>
              </w:rPr>
              <w:t xml:space="preserve"> </w:t>
            </w:r>
            <w:r w:rsidR="001574A5" w:rsidRPr="006362DF">
              <w:rPr>
                <w:rFonts w:ascii="Arial" w:hAnsi="Arial" w:cs="Arial"/>
                <w:b/>
                <w:szCs w:val="20"/>
              </w:rPr>
              <w:t>Bank Loan:</w:t>
            </w:r>
            <w:r w:rsidR="001574A5" w:rsidRPr="006362DF">
              <w:rPr>
                <w:rFonts w:ascii="Arial" w:hAnsi="Arial" w:cs="Arial"/>
                <w:szCs w:val="20"/>
              </w:rPr>
              <w:tab/>
              <w:t>$</w:t>
            </w:r>
            <w:r w:rsidR="00022EAD">
              <w:rPr>
                <w:rFonts w:ascii="Arial" w:hAnsi="Arial" w:cs="Arial"/>
                <w:szCs w:val="20"/>
              </w:rPr>
              <w:t>488,000</w:t>
            </w:r>
          </w:p>
          <w:p w:rsidR="00786085" w:rsidRPr="006362DF" w:rsidRDefault="00786085" w:rsidP="002F3D05">
            <w:pPr>
              <w:tabs>
                <w:tab w:val="right" w:pos="3600"/>
                <w:tab w:val="left" w:pos="7920"/>
              </w:tabs>
              <w:ind w:firstLine="360"/>
              <w:rPr>
                <w:rFonts w:ascii="Arial" w:hAnsi="Arial" w:cs="Arial"/>
                <w:szCs w:val="20"/>
              </w:rPr>
            </w:pPr>
          </w:p>
          <w:p w:rsidR="00CD09DC" w:rsidRPr="00022EAD" w:rsidRDefault="00022EAD" w:rsidP="00022EAD">
            <w:pPr>
              <w:tabs>
                <w:tab w:val="right" w:pos="3600"/>
                <w:tab w:val="left" w:pos="7920"/>
              </w:tabs>
              <w:ind w:left="222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22EAD">
              <w:rPr>
                <w:rFonts w:ascii="Arial" w:hAnsi="Arial" w:cs="Arial"/>
                <w:i/>
                <w:sz w:val="20"/>
                <w:szCs w:val="20"/>
              </w:rPr>
              <w:t>A 1</w:t>
            </w:r>
            <w:r w:rsidR="004B48A4">
              <w:rPr>
                <w:rFonts w:ascii="Arial" w:hAnsi="Arial" w:cs="Arial"/>
                <w:i/>
                <w:sz w:val="20"/>
                <w:szCs w:val="20"/>
              </w:rPr>
              <w:t>0% down payment would net $103,906</w:t>
            </w:r>
            <w:r w:rsidRPr="00022EAD">
              <w:rPr>
                <w:rFonts w:ascii="Arial" w:hAnsi="Arial" w:cs="Arial"/>
                <w:i/>
                <w:sz w:val="20"/>
                <w:szCs w:val="20"/>
              </w:rPr>
              <w:t xml:space="preserve"> after all</w:t>
            </w:r>
            <w:r w:rsidR="004B48A4">
              <w:rPr>
                <w:rFonts w:ascii="Arial" w:hAnsi="Arial" w:cs="Arial"/>
                <w:i/>
                <w:sz w:val="20"/>
                <w:szCs w:val="20"/>
              </w:rPr>
              <w:t xml:space="preserve"> debts in the first year – a 170</w:t>
            </w:r>
            <w:r w:rsidRPr="00022EAD">
              <w:rPr>
                <w:rFonts w:ascii="Arial" w:hAnsi="Arial" w:cs="Arial"/>
                <w:i/>
                <w:sz w:val="20"/>
                <w:szCs w:val="20"/>
              </w:rPr>
              <w:t>% return on investment!</w:t>
            </w:r>
          </w:p>
          <w:p w:rsidR="00022EAD" w:rsidRDefault="00022EAD" w:rsidP="006362DF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</w:p>
          <w:p w:rsidR="001574A5" w:rsidRPr="00B05726" w:rsidRDefault="001574A5" w:rsidP="006362DF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Description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786085" w:rsidRDefault="00786085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EB1793" w:rsidRDefault="00022EAD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This 4-location shop in the Omaha metro has been serving custom and gourmet treats and gifts for over 10 years</w:t>
            </w:r>
            <w:r w:rsidR="00565146">
              <w:rPr>
                <w:rFonts w:ascii="Arial" w:hAnsi="Arial" w:cs="Arial"/>
                <w:sz w:val="21"/>
                <w:szCs w:val="21"/>
              </w:rPr>
              <w:t>. Part of a national franchise with locations across the globe, these</w:t>
            </w:r>
            <w:r w:rsidR="006623A8">
              <w:rPr>
                <w:rFonts w:ascii="Arial" w:hAnsi="Arial" w:cs="Arial"/>
                <w:sz w:val="21"/>
                <w:szCs w:val="21"/>
              </w:rPr>
              <w:t xml:space="preserve"> stores are the only ones in Nebraska and the only service for Council Bluffs.</w:t>
            </w:r>
            <w:r w:rsidR="00EB1793">
              <w:rPr>
                <w:rFonts w:ascii="Arial" w:hAnsi="Arial" w:cs="Arial"/>
                <w:sz w:val="21"/>
                <w:szCs w:val="21"/>
              </w:rPr>
              <w:t xml:space="preserve"> The franchise has been in the area for 11 years with a unique product and reputation.</w:t>
            </w:r>
          </w:p>
          <w:p w:rsidR="00EB1793" w:rsidRDefault="00EB1793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565146" w:rsidRDefault="00ED6039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Each store is fully staffed with part-time help and a full-time manager. A delivery van comes with each location, helping to serve the increasing online and same-day delivery sales.</w:t>
            </w:r>
            <w:r w:rsidR="008C3A64">
              <w:rPr>
                <w:rFonts w:ascii="Arial" w:hAnsi="Arial" w:cs="Arial"/>
                <w:sz w:val="21"/>
                <w:szCs w:val="21"/>
              </w:rPr>
              <w:t xml:space="preserve"> The smallest store is 1,200 sq. ft., with the largest two both at 1,600 sq. ft.</w:t>
            </w:r>
            <w:r w:rsidR="00A727A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A6985">
              <w:rPr>
                <w:rFonts w:ascii="Arial" w:hAnsi="Arial" w:cs="Arial"/>
                <w:sz w:val="21"/>
                <w:szCs w:val="21"/>
              </w:rPr>
              <w:t>These locations have strong repeat business. The franchise average puts customers ordering 1.7 products each year, but these stores average between 2.9 and 3.1 products per person each year.</w:t>
            </w:r>
            <w:r w:rsidR="008C3A64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A727AC" w:rsidRDefault="00A727AC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727AC" w:rsidRDefault="00A727AC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Sellers currently oversee operations and assist in the stores when needed. Both are passionate about the brand and products, and so spend more time than is necessary within the stores. A new owner could scale back hours to create more passive ownership.</w:t>
            </w:r>
          </w:p>
          <w:p w:rsidR="00A727AC" w:rsidRDefault="00A727AC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727AC" w:rsidRPr="006362DF" w:rsidRDefault="00A727AC" w:rsidP="00565146">
            <w:pPr>
              <w:tabs>
                <w:tab w:val="left" w:pos="7920"/>
              </w:tabs>
              <w:ind w:right="17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The franchise values existing stores at $250,000, but these stores are being valued at $</w:t>
            </w:r>
            <w:r w:rsidR="009D1EE8">
              <w:rPr>
                <w:rFonts w:ascii="Arial" w:hAnsi="Arial" w:cs="Arial"/>
                <w:sz w:val="21"/>
                <w:szCs w:val="21"/>
              </w:rPr>
              <w:t>152,500</w:t>
            </w:r>
            <w:r>
              <w:rPr>
                <w:rFonts w:ascii="Arial" w:hAnsi="Arial" w:cs="Arial"/>
                <w:sz w:val="21"/>
                <w:szCs w:val="21"/>
              </w:rPr>
              <w:t xml:space="preserve"> to suit the local ma</w:t>
            </w:r>
            <w:r w:rsidR="005F329B">
              <w:rPr>
                <w:rFonts w:ascii="Arial" w:hAnsi="Arial" w:cs="Arial"/>
                <w:sz w:val="21"/>
                <w:szCs w:val="21"/>
              </w:rPr>
              <w:t xml:space="preserve">rket. At a purchase price </w:t>
            </w:r>
            <w:r w:rsidR="009D1EE8">
              <w:rPr>
                <w:rFonts w:ascii="Arial" w:hAnsi="Arial" w:cs="Arial"/>
                <w:sz w:val="21"/>
                <w:szCs w:val="21"/>
              </w:rPr>
              <w:t>of $610</w:t>
            </w:r>
            <w:r>
              <w:rPr>
                <w:rFonts w:ascii="Arial" w:hAnsi="Arial" w:cs="Arial"/>
                <w:sz w:val="21"/>
                <w:szCs w:val="21"/>
              </w:rPr>
              <w:t>,000, a bank loan would be partially collateralized by the $135,876 in assets.</w:t>
            </w:r>
          </w:p>
          <w:p w:rsidR="001B7705" w:rsidRPr="006149B0" w:rsidRDefault="001B7705" w:rsidP="00A727AC">
            <w:pPr>
              <w:tabs>
                <w:tab w:val="left" w:pos="7920"/>
              </w:tabs>
              <w:ind w:right="170"/>
              <w:jc w:val="both"/>
              <w:rPr>
                <w:sz w:val="21"/>
                <w:szCs w:val="21"/>
              </w:rPr>
            </w:pPr>
          </w:p>
          <w:p w:rsidR="001574A5" w:rsidRPr="00B05726" w:rsidRDefault="001574A5" w:rsidP="00B05726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Next Steps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1574A5" w:rsidRPr="006362DF" w:rsidRDefault="001574A5" w:rsidP="001B7705">
            <w:pPr>
              <w:tabs>
                <w:tab w:val="left" w:pos="7920"/>
              </w:tabs>
              <w:ind w:left="180" w:right="17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sz w:val="20"/>
                <w:szCs w:val="20"/>
              </w:rPr>
              <w:t>For a detailed financial package</w:t>
            </w:r>
            <w:r w:rsidR="00786085" w:rsidRPr="006362DF">
              <w:rPr>
                <w:rFonts w:ascii="Arial" w:hAnsi="Arial" w:cs="Arial"/>
                <w:sz w:val="20"/>
                <w:szCs w:val="20"/>
              </w:rPr>
              <w:t xml:space="preserve">, please contact </w:t>
            </w:r>
            <w:r w:rsidRPr="006362DF">
              <w:rPr>
                <w:rFonts w:ascii="Arial" w:hAnsi="Arial" w:cs="Arial"/>
                <w:sz w:val="20"/>
                <w:szCs w:val="20"/>
              </w:rPr>
              <w:t>Cortney Sells or one of The Firm Business Brokerage’s profes</w:t>
            </w:r>
            <w:r w:rsidR="00786085" w:rsidRPr="006362DF">
              <w:rPr>
                <w:rFonts w:ascii="Arial" w:hAnsi="Arial" w:cs="Arial"/>
                <w:sz w:val="20"/>
                <w:szCs w:val="20"/>
              </w:rPr>
              <w:t>sionals at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402.998.5288 </w:t>
            </w:r>
            <w:r w:rsidR="00786085" w:rsidRPr="006362DF">
              <w:rPr>
                <w:rFonts w:ascii="Arial" w:hAnsi="Arial" w:cs="Arial"/>
                <w:sz w:val="20"/>
                <w:szCs w:val="20"/>
              </w:rPr>
              <w:t xml:space="preserve">or email </w:t>
            </w:r>
            <w:hyperlink r:id="rId7" w:history="1">
              <w:r w:rsidRPr="006362DF">
                <w:rPr>
                  <w:rStyle w:val="Hyperlink"/>
                  <w:rFonts w:ascii="Arial" w:hAnsi="Arial" w:cs="Arial"/>
                  <w:color w:val="55274E"/>
                  <w:sz w:val="20"/>
                  <w:szCs w:val="20"/>
                </w:rPr>
                <w:t>Confidential@TheFirmB2B.com</w:t>
              </w:r>
            </w:hyperlink>
            <w:r w:rsidRPr="006362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574A5" w:rsidTr="00722D19">
        <w:trPr>
          <w:trHeight w:val="2250"/>
        </w:trPr>
        <w:tc>
          <w:tcPr>
            <w:tcW w:w="5040" w:type="dxa"/>
          </w:tcPr>
          <w:p w:rsidR="001574A5" w:rsidRPr="00B05726" w:rsidRDefault="001574A5" w:rsidP="001574A5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Assets Included in Purchase</w:t>
            </w:r>
            <w:r w:rsidR="00887B6C">
              <w:rPr>
                <w:rFonts w:ascii="Arial" w:hAnsi="Arial" w:cs="Arial"/>
                <w:color w:val="55274E"/>
                <w:szCs w:val="20"/>
                <w:u w:val="single" w:color="55274E"/>
              </w:rPr>
              <w:t>: $135,876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Equipment: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4EE1">
              <w:rPr>
                <w:rFonts w:ascii="Arial" w:hAnsi="Arial" w:cs="Arial"/>
                <w:sz w:val="20"/>
                <w:szCs w:val="20"/>
              </w:rPr>
              <w:t>$24,709 – computers, fixtures, furniture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Vehicles: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D09FE">
              <w:rPr>
                <w:rFonts w:ascii="Arial" w:hAnsi="Arial" w:cs="Arial"/>
                <w:sz w:val="20"/>
                <w:szCs w:val="20"/>
              </w:rPr>
              <w:t>$111,167 – 4 delivery vans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Intangible Assets: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160">
              <w:rPr>
                <w:rFonts w:ascii="Arial" w:hAnsi="Arial" w:cs="Arial"/>
                <w:sz w:val="20"/>
                <w:szCs w:val="20"/>
              </w:rPr>
              <w:t>Unique product, reputation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Inventory: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21AE">
              <w:rPr>
                <w:rFonts w:ascii="Arial" w:hAnsi="Arial" w:cs="Arial"/>
                <w:sz w:val="20"/>
                <w:szCs w:val="20"/>
              </w:rPr>
              <w:t>Rotates quickly and is ordered weekly</w:t>
            </w:r>
          </w:p>
          <w:p w:rsidR="003E7C8A" w:rsidRPr="006362DF" w:rsidRDefault="003E7C8A" w:rsidP="00786085">
            <w:pPr>
              <w:tabs>
                <w:tab w:val="left" w:pos="7920"/>
              </w:tabs>
              <w:spacing w:before="60"/>
              <w:ind w:left="360" w:hanging="180"/>
              <w:rPr>
                <w:rFonts w:ascii="Arial" w:hAnsi="Arial" w:cs="Arial"/>
                <w:i/>
                <w:sz w:val="2"/>
                <w:szCs w:val="20"/>
              </w:rPr>
            </w:pPr>
          </w:p>
          <w:p w:rsidR="00855ADE" w:rsidRPr="00855ADE" w:rsidRDefault="003E7C8A" w:rsidP="00786085">
            <w:pPr>
              <w:tabs>
                <w:tab w:val="left" w:pos="7920"/>
              </w:tabs>
              <w:spacing w:before="60"/>
              <w:ind w:left="360" w:hanging="180"/>
              <w:rPr>
                <w:i/>
                <w:sz w:val="20"/>
                <w:szCs w:val="20"/>
              </w:rPr>
            </w:pPr>
            <w:r w:rsidRPr="006362DF">
              <w:rPr>
                <w:rFonts w:ascii="Arial" w:hAnsi="Arial" w:cs="Arial"/>
                <w:i/>
                <w:sz w:val="20"/>
                <w:szCs w:val="20"/>
              </w:rPr>
              <w:t>*amounts may vary</w:t>
            </w:r>
          </w:p>
        </w:tc>
        <w:tc>
          <w:tcPr>
            <w:tcW w:w="720" w:type="dxa"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  <w:tc>
          <w:tcPr>
            <w:tcW w:w="5040" w:type="dxa"/>
            <w:vMerge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</w:tr>
      <w:tr w:rsidR="001574A5" w:rsidTr="009E34FE">
        <w:trPr>
          <w:trHeight w:val="3816"/>
        </w:trPr>
        <w:tc>
          <w:tcPr>
            <w:tcW w:w="5040" w:type="dxa"/>
          </w:tcPr>
          <w:p w:rsidR="001574A5" w:rsidRPr="00B05726" w:rsidRDefault="001574A5" w:rsidP="001574A5">
            <w:pPr>
              <w:tabs>
                <w:tab w:val="right" w:pos="5082"/>
                <w:tab w:val="left" w:pos="7920"/>
              </w:tabs>
              <w:rPr>
                <w:rFonts w:ascii="Arial" w:hAnsi="Arial" w:cs="Arial"/>
                <w:color w:val="55274E"/>
                <w:szCs w:val="20"/>
                <w:u w:val="single" w:color="55274E"/>
              </w:rPr>
            </w:pP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>Business Information</w:t>
            </w:r>
            <w:r w:rsidRPr="00B05726">
              <w:rPr>
                <w:rFonts w:ascii="Arial" w:hAnsi="Arial" w:cs="Arial"/>
                <w:color w:val="55274E"/>
                <w:szCs w:val="20"/>
                <w:u w:val="single" w:color="55274E"/>
              </w:rPr>
              <w:tab/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Years in Business: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0D25">
              <w:rPr>
                <w:rFonts w:ascii="Arial" w:hAnsi="Arial" w:cs="Arial"/>
                <w:sz w:val="20"/>
                <w:szCs w:val="20"/>
              </w:rPr>
              <w:t>1</w:t>
            </w:r>
            <w:r w:rsidR="00F220F3">
              <w:rPr>
                <w:rFonts w:ascii="Arial" w:hAnsi="Arial" w:cs="Arial"/>
                <w:sz w:val="20"/>
                <w:szCs w:val="20"/>
              </w:rPr>
              <w:t>1, current owners bought in 2006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Location and Service Area: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4290">
              <w:rPr>
                <w:rFonts w:ascii="Arial" w:hAnsi="Arial" w:cs="Arial"/>
                <w:sz w:val="20"/>
                <w:szCs w:val="20"/>
              </w:rPr>
              <w:t>Omaha and Lincoln, NE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Demographics: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5D7">
              <w:rPr>
                <w:rFonts w:ascii="Arial" w:hAnsi="Arial" w:cs="Arial"/>
                <w:sz w:val="20"/>
                <w:szCs w:val="20"/>
              </w:rPr>
              <w:t>Average customer orders 2.9 to 3.1 times per year, compared to the franchise standard of 1.7</w:t>
            </w:r>
          </w:p>
          <w:p w:rsidR="001574A5" w:rsidRPr="006362DF" w:rsidRDefault="0082064B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Building</w:t>
            </w:r>
            <w:r w:rsidR="001574A5" w:rsidRPr="006362DF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Location 1 – 1,200 sq. ft.</w:t>
            </w:r>
            <w:r w:rsidR="00AC7A3F">
              <w:rPr>
                <w:rFonts w:ascii="Arial" w:hAnsi="Arial" w:cs="Arial"/>
                <w:sz w:val="20"/>
                <w:szCs w:val="20"/>
              </w:rPr>
              <w:t xml:space="preserve"> ($1,855/mo)</w:t>
            </w:r>
            <w:r>
              <w:rPr>
                <w:rFonts w:ascii="Arial" w:hAnsi="Arial" w:cs="Arial"/>
                <w:sz w:val="20"/>
                <w:szCs w:val="20"/>
              </w:rPr>
              <w:t>, Location 2 – 1,438 sq. ft.</w:t>
            </w:r>
            <w:r w:rsidR="0069641D">
              <w:rPr>
                <w:rFonts w:ascii="Arial" w:hAnsi="Arial" w:cs="Arial"/>
                <w:sz w:val="20"/>
                <w:szCs w:val="20"/>
              </w:rPr>
              <w:t xml:space="preserve"> ($2,861/mo)</w:t>
            </w:r>
            <w:r>
              <w:rPr>
                <w:rFonts w:ascii="Arial" w:hAnsi="Arial" w:cs="Arial"/>
                <w:sz w:val="20"/>
                <w:szCs w:val="20"/>
              </w:rPr>
              <w:t>, Location 3 – 1,600 sq. ft.</w:t>
            </w:r>
            <w:r w:rsidR="00AC7A3F">
              <w:rPr>
                <w:rFonts w:ascii="Arial" w:hAnsi="Arial" w:cs="Arial"/>
                <w:sz w:val="20"/>
                <w:szCs w:val="20"/>
              </w:rPr>
              <w:t>($3,517/mo)</w:t>
            </w:r>
            <w:r>
              <w:rPr>
                <w:rFonts w:ascii="Arial" w:hAnsi="Arial" w:cs="Arial"/>
                <w:sz w:val="20"/>
                <w:szCs w:val="20"/>
              </w:rPr>
              <w:t>, Location 4 – 1,600 sq. ft.</w:t>
            </w:r>
            <w:r w:rsidR="00AC7A3F">
              <w:rPr>
                <w:rFonts w:ascii="Arial" w:hAnsi="Arial" w:cs="Arial"/>
                <w:sz w:val="20"/>
                <w:szCs w:val="20"/>
              </w:rPr>
              <w:t xml:space="preserve"> (1,855/mo)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Reason for Selling: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5F32">
              <w:rPr>
                <w:rFonts w:ascii="Arial" w:hAnsi="Arial" w:cs="Arial"/>
                <w:sz w:val="20"/>
                <w:szCs w:val="20"/>
              </w:rPr>
              <w:t>New business ventures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Employees:</w:t>
            </w:r>
            <w:r w:rsidR="00781755">
              <w:rPr>
                <w:rFonts w:ascii="Arial" w:hAnsi="Arial" w:cs="Arial"/>
                <w:sz w:val="20"/>
                <w:szCs w:val="20"/>
              </w:rPr>
              <w:t xml:space="preserve"> 4 FT Managers (1 in each store), 46 PT employees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Hours: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4389">
              <w:rPr>
                <w:rFonts w:ascii="Arial" w:hAnsi="Arial" w:cs="Arial"/>
                <w:sz w:val="20"/>
                <w:szCs w:val="20"/>
              </w:rPr>
              <w:t>8am to 7pm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Seller Training Period: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287C">
              <w:rPr>
                <w:rFonts w:ascii="Arial" w:hAnsi="Arial" w:cs="Arial"/>
                <w:sz w:val="20"/>
                <w:szCs w:val="20"/>
              </w:rPr>
              <w:t>90 days plus franchise training</w:t>
            </w:r>
          </w:p>
          <w:p w:rsidR="001574A5" w:rsidRPr="006362DF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b/>
                <w:sz w:val="20"/>
                <w:szCs w:val="20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Growth Opportunities:</w:t>
            </w:r>
            <w:r w:rsidRPr="006362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79C">
              <w:rPr>
                <w:rFonts w:ascii="Arial" w:hAnsi="Arial" w:cs="Arial"/>
                <w:sz w:val="20"/>
                <w:szCs w:val="20"/>
              </w:rPr>
              <w:t>Local marketing, o</w:t>
            </w:r>
            <w:r w:rsidR="00CA287C">
              <w:rPr>
                <w:rFonts w:ascii="Arial" w:hAnsi="Arial" w:cs="Arial"/>
                <w:sz w:val="20"/>
                <w:szCs w:val="20"/>
              </w:rPr>
              <w:t>nline sales</w:t>
            </w:r>
          </w:p>
          <w:p w:rsidR="001574A5" w:rsidRPr="007121AE" w:rsidRDefault="001574A5" w:rsidP="001A6886">
            <w:pPr>
              <w:tabs>
                <w:tab w:val="left" w:pos="7920"/>
              </w:tabs>
              <w:spacing w:before="60"/>
              <w:ind w:left="180" w:hanging="180"/>
              <w:rPr>
                <w:rFonts w:ascii="Arial" w:hAnsi="Arial" w:cs="Arial"/>
                <w:color w:val="4A7B29" w:themeColor="accent2" w:themeShade="BF"/>
                <w:sz w:val="24"/>
                <w:szCs w:val="20"/>
                <w:u w:val="single"/>
              </w:rPr>
            </w:pPr>
            <w:r w:rsidRPr="006362DF">
              <w:rPr>
                <w:rFonts w:ascii="Arial" w:hAnsi="Arial" w:cs="Arial"/>
                <w:b/>
                <w:sz w:val="20"/>
                <w:szCs w:val="20"/>
              </w:rPr>
              <w:t>Current Owner’s Responsibilities:</w:t>
            </w:r>
            <w:r w:rsidRPr="00CC5683">
              <w:rPr>
                <w:sz w:val="20"/>
                <w:szCs w:val="20"/>
              </w:rPr>
              <w:t xml:space="preserve"> </w:t>
            </w:r>
            <w:r w:rsidR="007121AE">
              <w:rPr>
                <w:rFonts w:ascii="Arial" w:hAnsi="Arial" w:cs="Arial"/>
                <w:sz w:val="20"/>
                <w:szCs w:val="20"/>
              </w:rPr>
              <w:t>Oversee operations and help as needed</w:t>
            </w:r>
          </w:p>
        </w:tc>
        <w:tc>
          <w:tcPr>
            <w:tcW w:w="720" w:type="dxa"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  <w:tc>
          <w:tcPr>
            <w:tcW w:w="5040" w:type="dxa"/>
            <w:vMerge/>
          </w:tcPr>
          <w:p w:rsidR="001574A5" w:rsidRDefault="001574A5" w:rsidP="002A0F18">
            <w:pPr>
              <w:tabs>
                <w:tab w:val="right" w:pos="4850"/>
                <w:tab w:val="right" w:pos="6120"/>
                <w:tab w:val="left" w:pos="7920"/>
              </w:tabs>
              <w:rPr>
                <w:rFonts w:asciiTheme="majorHAnsi" w:hAnsiTheme="majorHAnsi"/>
                <w:color w:val="4A7B29" w:themeColor="accent2" w:themeShade="BF"/>
                <w:sz w:val="24"/>
                <w:szCs w:val="20"/>
                <w:u w:val="single"/>
              </w:rPr>
            </w:pPr>
          </w:p>
        </w:tc>
      </w:tr>
      <w:tr w:rsidR="001574A5" w:rsidRPr="007D7C70" w:rsidTr="002732BA">
        <w:trPr>
          <w:trHeight w:val="198"/>
        </w:trPr>
        <w:tc>
          <w:tcPr>
            <w:tcW w:w="5040" w:type="dxa"/>
          </w:tcPr>
          <w:p w:rsidR="001574A5" w:rsidRPr="004D2145" w:rsidRDefault="001574A5" w:rsidP="004D2145">
            <w:pPr>
              <w:tabs>
                <w:tab w:val="right" w:pos="4850"/>
                <w:tab w:val="right" w:pos="6120"/>
                <w:tab w:val="left" w:pos="7920"/>
              </w:tabs>
              <w:jc w:val="right"/>
              <w:rPr>
                <w:color w:val="7F7F7F" w:themeColor="text1" w:themeTint="80"/>
                <w:sz w:val="13"/>
                <w:szCs w:val="13"/>
              </w:rPr>
            </w:pPr>
          </w:p>
        </w:tc>
        <w:tc>
          <w:tcPr>
            <w:tcW w:w="5040" w:type="dxa"/>
            <w:gridSpan w:val="2"/>
          </w:tcPr>
          <w:p w:rsidR="001574A5" w:rsidRPr="007D7C70" w:rsidRDefault="001574A5" w:rsidP="004D2145">
            <w:pPr>
              <w:tabs>
                <w:tab w:val="right" w:pos="4850"/>
                <w:tab w:val="right" w:pos="6120"/>
                <w:tab w:val="left" w:pos="7920"/>
              </w:tabs>
              <w:jc w:val="right"/>
              <w:rPr>
                <w:rFonts w:ascii="Arial" w:hAnsi="Arial" w:cs="Arial"/>
                <w:color w:val="7F7F7F" w:themeColor="text1" w:themeTint="80"/>
                <w:sz w:val="5"/>
                <w:szCs w:val="13"/>
              </w:rPr>
            </w:pPr>
          </w:p>
          <w:p w:rsidR="001574A5" w:rsidRPr="007D7C70" w:rsidRDefault="00722D19" w:rsidP="004D2145">
            <w:pPr>
              <w:tabs>
                <w:tab w:val="right" w:pos="4850"/>
                <w:tab w:val="right" w:pos="6120"/>
                <w:tab w:val="left" w:pos="7920"/>
              </w:tabs>
              <w:jc w:val="right"/>
              <w:rPr>
                <w:rFonts w:ascii="Arial" w:hAnsi="Arial" w:cs="Arial"/>
                <w:b/>
                <w:color w:val="4A7B29" w:themeColor="accent2" w:themeShade="BF"/>
                <w:sz w:val="14"/>
                <w:szCs w:val="20"/>
              </w:rPr>
            </w:pPr>
            <w:r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 xml:space="preserve">Last Revised </w:t>
            </w:r>
            <w:r w:rsidR="00B32777">
              <w:rPr>
                <w:rFonts w:ascii="Arial" w:hAnsi="Arial" w:cs="Arial"/>
                <w:color w:val="7F7F7F" w:themeColor="text1" w:themeTint="80"/>
                <w:sz w:val="13"/>
                <w:szCs w:val="13"/>
              </w:rPr>
              <w:t>MK 3/12/18</w:t>
            </w:r>
          </w:p>
        </w:tc>
      </w:tr>
      <w:tr w:rsidR="001574A5" w:rsidTr="002732BA">
        <w:trPr>
          <w:trHeight w:val="261"/>
        </w:trPr>
        <w:tc>
          <w:tcPr>
            <w:tcW w:w="5040" w:type="dxa"/>
            <w:gridSpan w:val="3"/>
          </w:tcPr>
          <w:p w:rsidR="001574A5" w:rsidRPr="00B05726" w:rsidRDefault="001574A5" w:rsidP="002D58A9">
            <w:pPr>
              <w:tabs>
                <w:tab w:val="right" w:pos="4850"/>
                <w:tab w:val="right" w:pos="6120"/>
                <w:tab w:val="left" w:pos="7920"/>
              </w:tabs>
              <w:jc w:val="center"/>
              <w:rPr>
                <w:rFonts w:ascii="Arial" w:hAnsi="Arial" w:cs="Arial"/>
                <w:b/>
                <w:i/>
                <w:color w:val="55274E"/>
                <w:sz w:val="24"/>
                <w:szCs w:val="20"/>
              </w:rPr>
            </w:pPr>
            <w:r w:rsidRPr="00B05726">
              <w:rPr>
                <w:rFonts w:ascii="Arial" w:hAnsi="Arial" w:cs="Arial"/>
                <w:b/>
                <w:i/>
                <w:color w:val="55274E"/>
                <w:sz w:val="28"/>
                <w:szCs w:val="20"/>
              </w:rPr>
              <w:t>- CONFIDENTIAL -</w:t>
            </w:r>
          </w:p>
        </w:tc>
      </w:tr>
      <w:tr w:rsidR="001574A5" w:rsidTr="001574A5">
        <w:tc>
          <w:tcPr>
            <w:tcW w:w="5040" w:type="dxa"/>
            <w:gridSpan w:val="3"/>
          </w:tcPr>
          <w:p w:rsidR="001574A5" w:rsidRPr="007D7C70" w:rsidRDefault="001574A5" w:rsidP="00F0467C">
            <w:pPr>
              <w:tabs>
                <w:tab w:val="right" w:pos="5760"/>
                <w:tab w:val="left" w:pos="7920"/>
              </w:tabs>
              <w:rPr>
                <w:rFonts w:ascii="Arial" w:hAnsi="Arial" w:cs="Arial"/>
                <w:i/>
                <w:color w:val="808080" w:themeColor="background1" w:themeShade="80"/>
                <w:sz w:val="11"/>
                <w:szCs w:val="20"/>
              </w:rPr>
            </w:pPr>
          </w:p>
          <w:p w:rsidR="001574A5" w:rsidRPr="007D7C70" w:rsidRDefault="001574A5" w:rsidP="004D2145">
            <w:pPr>
              <w:tabs>
                <w:tab w:val="right" w:pos="4850"/>
                <w:tab w:val="right" w:pos="6120"/>
                <w:tab w:val="left" w:pos="7920"/>
              </w:tabs>
              <w:jc w:val="center"/>
              <w:rPr>
                <w:rFonts w:ascii="Arial" w:hAnsi="Arial" w:cs="Arial"/>
                <w:b/>
                <w:color w:val="4A7B29" w:themeColor="accent2" w:themeShade="BF"/>
                <w:sz w:val="11"/>
                <w:szCs w:val="20"/>
              </w:rPr>
            </w:pPr>
            <w:r w:rsidRPr="007D7C70">
              <w:rPr>
                <w:rFonts w:ascii="Arial" w:hAnsi="Arial" w:cs="Arial"/>
                <w:i/>
                <w:color w:val="808080" w:themeColor="background1" w:themeShade="80"/>
                <w:sz w:val="11"/>
                <w:szCs w:val="13"/>
              </w:rPr>
              <w:t>The Firm makes no warranties or representation in consideration to the information provided above. All communication regarding this business must occur directly with The Firm Brokerage, LLC.</w:t>
            </w:r>
          </w:p>
        </w:tc>
      </w:tr>
    </w:tbl>
    <w:p w:rsidR="003C763B" w:rsidRPr="002D58A9" w:rsidRDefault="003C763B" w:rsidP="003C763B">
      <w:pPr>
        <w:tabs>
          <w:tab w:val="left" w:pos="7920"/>
        </w:tabs>
        <w:spacing w:after="0" w:line="240" w:lineRule="auto"/>
        <w:rPr>
          <w:sz w:val="2"/>
          <w:szCs w:val="20"/>
        </w:rPr>
      </w:pPr>
    </w:p>
    <w:sectPr w:rsidR="003C763B" w:rsidRPr="002D58A9" w:rsidSect="007D7C70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9D"/>
    <w:rsid w:val="000156E5"/>
    <w:rsid w:val="00022EAD"/>
    <w:rsid w:val="000248DE"/>
    <w:rsid w:val="000428DA"/>
    <w:rsid w:val="000B1C12"/>
    <w:rsid w:val="000F649C"/>
    <w:rsid w:val="00127EE4"/>
    <w:rsid w:val="00146BBE"/>
    <w:rsid w:val="001574A5"/>
    <w:rsid w:val="00186964"/>
    <w:rsid w:val="001A6886"/>
    <w:rsid w:val="001B7705"/>
    <w:rsid w:val="00264766"/>
    <w:rsid w:val="002657D4"/>
    <w:rsid w:val="002732BA"/>
    <w:rsid w:val="002A0F18"/>
    <w:rsid w:val="002D58A9"/>
    <w:rsid w:val="002F3D05"/>
    <w:rsid w:val="003C0D25"/>
    <w:rsid w:val="003C763B"/>
    <w:rsid w:val="003E7C8A"/>
    <w:rsid w:val="003F4290"/>
    <w:rsid w:val="00403EAB"/>
    <w:rsid w:val="00404409"/>
    <w:rsid w:val="004367BE"/>
    <w:rsid w:val="00456B79"/>
    <w:rsid w:val="0049348E"/>
    <w:rsid w:val="004A45B1"/>
    <w:rsid w:val="004B0ECC"/>
    <w:rsid w:val="004B48A4"/>
    <w:rsid w:val="004D2145"/>
    <w:rsid w:val="00516872"/>
    <w:rsid w:val="00565146"/>
    <w:rsid w:val="00571367"/>
    <w:rsid w:val="005C6BC4"/>
    <w:rsid w:val="005D61D5"/>
    <w:rsid w:val="005F329B"/>
    <w:rsid w:val="006019DD"/>
    <w:rsid w:val="006149B0"/>
    <w:rsid w:val="00624389"/>
    <w:rsid w:val="006362DF"/>
    <w:rsid w:val="0064347A"/>
    <w:rsid w:val="006623A8"/>
    <w:rsid w:val="0069641D"/>
    <w:rsid w:val="006B4AFF"/>
    <w:rsid w:val="006C135B"/>
    <w:rsid w:val="006D09FE"/>
    <w:rsid w:val="007121AE"/>
    <w:rsid w:val="00722D19"/>
    <w:rsid w:val="00772E20"/>
    <w:rsid w:val="007807D0"/>
    <w:rsid w:val="00781755"/>
    <w:rsid w:val="00783539"/>
    <w:rsid w:val="00786085"/>
    <w:rsid w:val="007D7C70"/>
    <w:rsid w:val="007F19E4"/>
    <w:rsid w:val="007F63CD"/>
    <w:rsid w:val="0082064B"/>
    <w:rsid w:val="0082091A"/>
    <w:rsid w:val="00855ADE"/>
    <w:rsid w:val="00887B6C"/>
    <w:rsid w:val="008A361F"/>
    <w:rsid w:val="008C3A64"/>
    <w:rsid w:val="008C7620"/>
    <w:rsid w:val="00944EE1"/>
    <w:rsid w:val="009A0993"/>
    <w:rsid w:val="009C00C5"/>
    <w:rsid w:val="009D1EE8"/>
    <w:rsid w:val="009E34FE"/>
    <w:rsid w:val="00A727AC"/>
    <w:rsid w:val="00A8394F"/>
    <w:rsid w:val="00AC7A3F"/>
    <w:rsid w:val="00B05726"/>
    <w:rsid w:val="00B05F32"/>
    <w:rsid w:val="00B12AA6"/>
    <w:rsid w:val="00B32777"/>
    <w:rsid w:val="00B54D0C"/>
    <w:rsid w:val="00B913E8"/>
    <w:rsid w:val="00B94173"/>
    <w:rsid w:val="00BA6985"/>
    <w:rsid w:val="00BD72D2"/>
    <w:rsid w:val="00C475D7"/>
    <w:rsid w:val="00C72501"/>
    <w:rsid w:val="00C9006D"/>
    <w:rsid w:val="00CA287C"/>
    <w:rsid w:val="00CA3847"/>
    <w:rsid w:val="00CB7422"/>
    <w:rsid w:val="00CC3640"/>
    <w:rsid w:val="00CC5683"/>
    <w:rsid w:val="00CC779C"/>
    <w:rsid w:val="00CD09DC"/>
    <w:rsid w:val="00CD480E"/>
    <w:rsid w:val="00CE4CC3"/>
    <w:rsid w:val="00D37FAC"/>
    <w:rsid w:val="00D53B05"/>
    <w:rsid w:val="00D544C0"/>
    <w:rsid w:val="00E47A62"/>
    <w:rsid w:val="00E5377F"/>
    <w:rsid w:val="00E54E9D"/>
    <w:rsid w:val="00EA1160"/>
    <w:rsid w:val="00EB16B3"/>
    <w:rsid w:val="00EB1793"/>
    <w:rsid w:val="00EC438B"/>
    <w:rsid w:val="00ED063B"/>
    <w:rsid w:val="00ED6039"/>
    <w:rsid w:val="00EF3273"/>
    <w:rsid w:val="00F0467C"/>
    <w:rsid w:val="00F220F3"/>
    <w:rsid w:val="00F4497D"/>
    <w:rsid w:val="00F5387D"/>
    <w:rsid w:val="00F802A2"/>
    <w:rsid w:val="00FC275D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FAA37B"/>
  <w15:chartTrackingRefBased/>
  <w15:docId w15:val="{EE525EDA-3709-4EDC-A274-E322B958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E9D"/>
  </w:style>
  <w:style w:type="paragraph" w:styleId="Heading1">
    <w:name w:val="heading 1"/>
    <w:basedOn w:val="Normal"/>
    <w:next w:val="Normal"/>
    <w:link w:val="Heading1Char"/>
    <w:uiPriority w:val="9"/>
    <w:qFormat/>
    <w:rsid w:val="00E54E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F1D3A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F1D3A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E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A1326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E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F1D3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E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F1D3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E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A132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E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A132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E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E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E9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54E9D"/>
    <w:rPr>
      <w:rFonts w:asciiTheme="majorHAnsi" w:eastAsiaTheme="majorEastAsia" w:hAnsiTheme="majorHAnsi" w:cstheme="majorBidi"/>
      <w:color w:val="3F1D3A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54E9D"/>
    <w:rPr>
      <w:rFonts w:asciiTheme="majorHAnsi" w:eastAsiaTheme="majorEastAsia" w:hAnsiTheme="majorHAnsi" w:cstheme="majorBidi"/>
      <w:color w:val="3F1D3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E9D"/>
    <w:rPr>
      <w:rFonts w:asciiTheme="majorHAnsi" w:eastAsiaTheme="majorEastAsia" w:hAnsiTheme="majorHAnsi" w:cstheme="majorBidi"/>
      <w:color w:val="2A1326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E9D"/>
    <w:rPr>
      <w:rFonts w:asciiTheme="majorHAnsi" w:eastAsiaTheme="majorEastAsia" w:hAnsiTheme="majorHAnsi" w:cstheme="majorBidi"/>
      <w:i/>
      <w:iCs/>
      <w:color w:val="3F1D3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E9D"/>
    <w:rPr>
      <w:rFonts w:asciiTheme="majorHAnsi" w:eastAsiaTheme="majorEastAsia" w:hAnsiTheme="majorHAnsi" w:cstheme="majorBidi"/>
      <w:color w:val="3F1D3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E9D"/>
    <w:rPr>
      <w:rFonts w:asciiTheme="majorHAnsi" w:eastAsiaTheme="majorEastAsia" w:hAnsiTheme="majorHAnsi" w:cstheme="majorBidi"/>
      <w:color w:val="2A132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E9D"/>
    <w:rPr>
      <w:rFonts w:asciiTheme="majorHAnsi" w:eastAsiaTheme="majorEastAsia" w:hAnsiTheme="majorHAnsi" w:cstheme="majorBidi"/>
      <w:i/>
      <w:iCs/>
      <w:color w:val="2A132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E9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E9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4E9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54E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E9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E9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54E9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E54E9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54E9D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E54E9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E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E9D"/>
    <w:pPr>
      <w:pBdr>
        <w:top w:val="single" w:sz="4" w:space="10" w:color="55274E" w:themeColor="accent1"/>
        <w:bottom w:val="single" w:sz="4" w:space="10" w:color="55274E" w:themeColor="accent1"/>
      </w:pBdr>
      <w:spacing w:before="360" w:after="360"/>
      <w:ind w:left="864" w:right="864"/>
      <w:jc w:val="center"/>
    </w:pPr>
    <w:rPr>
      <w:i/>
      <w:iCs/>
      <w:color w:val="55274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E9D"/>
    <w:rPr>
      <w:i/>
      <w:iCs/>
      <w:color w:val="55274E" w:themeColor="accent1"/>
    </w:rPr>
  </w:style>
  <w:style w:type="character" w:styleId="SubtleEmphasis">
    <w:name w:val="Subtle Emphasis"/>
    <w:basedOn w:val="DefaultParagraphFont"/>
    <w:uiPriority w:val="19"/>
    <w:qFormat/>
    <w:rsid w:val="00E54E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54E9D"/>
    <w:rPr>
      <w:i/>
      <w:iCs/>
      <w:color w:val="55274E" w:themeColor="accent1"/>
    </w:rPr>
  </w:style>
  <w:style w:type="character" w:styleId="SubtleReference">
    <w:name w:val="Subtle Reference"/>
    <w:basedOn w:val="DefaultParagraphFont"/>
    <w:uiPriority w:val="31"/>
    <w:qFormat/>
    <w:rsid w:val="00E54E9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54E9D"/>
    <w:rPr>
      <w:b/>
      <w:bCs/>
      <w:smallCaps/>
      <w:color w:val="55274E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54E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4E9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019DD"/>
    <w:rPr>
      <w:color w:val="EE7B08" w:themeColor="hyperlink"/>
      <w:u w:val="single"/>
    </w:rPr>
  </w:style>
  <w:style w:type="table" w:styleId="TableGrid">
    <w:name w:val="Table Grid"/>
    <w:basedOn w:val="TableNormal"/>
    <w:uiPriority w:val="39"/>
    <w:rsid w:val="00A83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4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1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5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idential@TheFirmB2B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fidential@TheFirmB2B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tropolitan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55274E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D2857-1876-478A-9AA6-BB3D85F7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Rand</dc:creator>
  <cp:keywords/>
  <dc:description/>
  <cp:lastModifiedBy>Elise</cp:lastModifiedBy>
  <cp:revision>70</cp:revision>
  <cp:lastPrinted>2018-03-19T16:00:00Z</cp:lastPrinted>
  <dcterms:created xsi:type="dcterms:W3CDTF">2015-11-04T00:09:00Z</dcterms:created>
  <dcterms:modified xsi:type="dcterms:W3CDTF">2018-03-19T16:04:00Z</dcterms:modified>
</cp:coreProperties>
</file>